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Vaggeryd kommunfullmäktige</w:t>
      </w:r>
    </w:p>
    <w:p>
      <w:pPr>
        <w:pStyle w:val="Heading1"/>
      </w:pPr>
      <w:r>
        <w:t xml:space="preserve">Höja lärartätheten i lågstadiet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Vaggeryd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Låga kunskapsresultat kräver tidiga insatser. Kolada visar att Vaggeryd har lägre lärartäthet än jämförbara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Vaggeryd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lärartätheten i årskurs 1–3 med 0,5 lärare per klass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medel avsätts i budget 2027 för rekrytering.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handlingsplan för tidiga insatser tas fram.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följs upp i kvalitetsredovisningen 2028.</w:t>
      </w:r>
    </w:p>
    <w:p>
      <w:pPr>
        <w:spacing w:before="360"/>
      </w:pPr>
    </w:p>
    <w:p>
      <w:r>
        <w:t xml:space="preserve">Vaggeryd,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Vaggeryd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2026-07-14T05:32:59.539Z</dcterms:created>
  <dcterms:modified xsi:type="dcterms:W3CDTF">2026-07-14T05:32:59.539Z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